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041DA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041DA">
        <w:rPr>
          <w:rFonts w:ascii="Times New Roman" w:hAnsi="Times New Roman"/>
          <w:noProof/>
        </w:rPr>
        <w:t>385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041DA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041DA">
        <w:rPr>
          <w:b/>
          <w:i/>
          <w:color w:val="000000"/>
          <w:sz w:val="22"/>
          <w:szCs w:val="22"/>
        </w:rPr>
        <w:t>Строительство ВЛИ-0,38 кВ от оп. 5/9, Ф-3 от ВЛИ-0,4 кВ КТП-1328   ПС Пичурино № 636, МО, г/о Орехово-Зуевский, с/о Ильинский, д. Пичурино, д. 101, 50:24:0080206:82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041DA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041DA">
        <w:rPr>
          <w:rFonts w:ascii="Times New Roman" w:hAnsi="Times New Roman" w:cs="Times New Roman"/>
          <w:b/>
          <w:snapToGrid w:val="0"/>
        </w:rPr>
        <w:t>Строительство ВЛИ-0,38 кВ от оп. 5/9, Ф-3 от ВЛИ-0,4 кВ КТП-1328   ПС Пичурино № 636, МО, г/о Орехово-Зуевский, с/о Ильинский, д. Пичурино, д. 101, 50:24:0080206:82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041DA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041DA">
        <w:rPr>
          <w:rFonts w:ascii="Times New Roman" w:hAnsi="Times New Roman" w:cs="Times New Roman"/>
          <w:b/>
        </w:rPr>
        <w:t>327865,8622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041DA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041D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041DA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041DA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1DA" w:rsidRDefault="005041DA" w:rsidP="0018059F">
      <w:pPr>
        <w:spacing w:after="0" w:line="240" w:lineRule="auto"/>
      </w:pPr>
      <w:r>
        <w:separator/>
      </w:r>
    </w:p>
  </w:endnote>
  <w:endnote w:type="continuationSeparator" w:id="0">
    <w:p w:rsidR="005041DA" w:rsidRDefault="005041D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041DA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1DA" w:rsidRDefault="005041DA" w:rsidP="0018059F">
      <w:pPr>
        <w:spacing w:after="0" w:line="240" w:lineRule="auto"/>
      </w:pPr>
      <w:r>
        <w:separator/>
      </w:r>
    </w:p>
  </w:footnote>
  <w:footnote w:type="continuationSeparator" w:id="0">
    <w:p w:rsidR="005041DA" w:rsidRDefault="005041D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041DA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04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04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5546</Words>
  <Characters>31615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